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BA89A" w14:textId="189466F5" w:rsidR="00E87C31" w:rsidRDefault="00E87C31" w:rsidP="00E87C31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  <w:r w:rsidRPr="00F6128B">
        <w:rPr>
          <w:rFonts w:ascii="Arial" w:hAnsi="Arial" w:cs="Arial"/>
          <w:b/>
          <w:sz w:val="40"/>
          <w:szCs w:val="40"/>
        </w:rPr>
        <w:t>Orden de intervención Comunicadores</w:t>
      </w:r>
    </w:p>
    <w:p w14:paraId="103E71F7" w14:textId="77777777" w:rsidR="00F61A37" w:rsidRPr="00F6128B" w:rsidRDefault="00F61A37" w:rsidP="00E87C31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</w:p>
    <w:p w14:paraId="3130BAEC" w14:textId="39C0B219" w:rsidR="00FD2AE0" w:rsidRPr="00F6128B" w:rsidRDefault="00E87C31" w:rsidP="00E87C31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F6128B">
        <w:rPr>
          <w:rFonts w:ascii="Arial" w:hAnsi="Arial" w:cs="Arial"/>
          <w:b/>
          <w:sz w:val="40"/>
          <w:szCs w:val="40"/>
          <w:u w:val="single"/>
        </w:rPr>
        <w:t xml:space="preserve">Grupo de Trabajo </w:t>
      </w:r>
      <w:r w:rsidR="00505337" w:rsidRPr="00F6128B">
        <w:rPr>
          <w:rFonts w:ascii="Arial" w:hAnsi="Arial" w:cs="Arial"/>
          <w:b/>
          <w:sz w:val="40"/>
          <w:szCs w:val="40"/>
          <w:u w:val="single"/>
        </w:rPr>
        <w:t>2</w:t>
      </w:r>
    </w:p>
    <w:p w14:paraId="0AB3EBF8" w14:textId="77777777" w:rsidR="00E87C31" w:rsidRPr="00F6128B" w:rsidRDefault="00E87C31" w:rsidP="00E87C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3243"/>
        <w:gridCol w:w="6001"/>
      </w:tblGrid>
      <w:tr w:rsidR="00505337" w:rsidRPr="00F6128B" w14:paraId="6676E22B" w14:textId="77777777" w:rsidTr="00DA5D20">
        <w:trPr>
          <w:trHeight w:val="1200"/>
          <w:jc w:val="center"/>
        </w:trPr>
        <w:tc>
          <w:tcPr>
            <w:tcW w:w="3243" w:type="dxa"/>
            <w:shd w:val="clear" w:color="auto" w:fill="auto"/>
            <w:vAlign w:val="center"/>
          </w:tcPr>
          <w:p w14:paraId="7F765DF6" w14:textId="77777777" w:rsidR="00AC1070" w:rsidRDefault="00AC1070" w:rsidP="00AC107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es-ES"/>
              </w:rPr>
            </w:pPr>
          </w:p>
          <w:p w14:paraId="025AABAA" w14:textId="6B784184" w:rsidR="00AC1070" w:rsidRDefault="00505337" w:rsidP="00AC107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es-ES"/>
              </w:rPr>
            </w:pPr>
            <w:r w:rsidRPr="00F6128B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es-ES"/>
              </w:rPr>
              <w:t>Grupo de trabajo 2</w:t>
            </w:r>
            <w:r w:rsidR="00AC1070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es-ES"/>
              </w:rPr>
              <w:t xml:space="preserve"> </w:t>
            </w:r>
          </w:p>
          <w:p w14:paraId="082EBC9B" w14:textId="5F9C183C" w:rsidR="00505337" w:rsidRDefault="00AC1070" w:rsidP="00AC107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es-ES"/>
              </w:rPr>
              <w:t>–</w:t>
            </w:r>
          </w:p>
          <w:p w14:paraId="18EF8268" w14:textId="24D8FFCF" w:rsidR="00AC1070" w:rsidRPr="00AC1070" w:rsidRDefault="00AC1070" w:rsidP="00AC107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2060"/>
                <w:sz w:val="28"/>
                <w:szCs w:val="28"/>
                <w:lang w:eastAsia="es-ES"/>
              </w:rPr>
            </w:pPr>
            <w:r w:rsidRPr="00AC1070">
              <w:rPr>
                <w:rFonts w:ascii="Arial" w:eastAsia="Times New Roman" w:hAnsi="Arial" w:cs="Arial"/>
                <w:color w:val="002060"/>
                <w:sz w:val="28"/>
                <w:szCs w:val="28"/>
                <w:lang w:eastAsia="es-ES"/>
              </w:rPr>
              <w:t>Accesibilidad universal y diseño universal para el aprendizaje</w:t>
            </w:r>
          </w:p>
          <w:p w14:paraId="040631EC" w14:textId="530C3DA0" w:rsidR="00505337" w:rsidRPr="00F6128B" w:rsidRDefault="00505337" w:rsidP="00DA5D2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es-ES"/>
              </w:rPr>
            </w:pPr>
            <w:r w:rsidRPr="00F6128B">
              <w:rPr>
                <w:rFonts w:ascii="Arial" w:eastAsia="Times New Roman" w:hAnsi="Arial" w:cs="Arial"/>
                <w:b/>
                <w:bCs/>
                <w:i/>
                <w:color w:val="002060"/>
                <w:sz w:val="28"/>
                <w:szCs w:val="28"/>
                <w:u w:val="single"/>
                <w:lang w:eastAsia="es-ES"/>
              </w:rPr>
              <w:t xml:space="preserve"> </w:t>
            </w:r>
          </w:p>
        </w:tc>
        <w:tc>
          <w:tcPr>
            <w:tcW w:w="6001" w:type="dxa"/>
            <w:shd w:val="clear" w:color="auto" w:fill="auto"/>
          </w:tcPr>
          <w:p w14:paraId="0CFC4667" w14:textId="77777777" w:rsidR="00F6128B" w:rsidRPr="00F6128B" w:rsidRDefault="00F6128B" w:rsidP="00DA5D20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2060"/>
                <w:sz w:val="28"/>
                <w:szCs w:val="28"/>
                <w:lang w:eastAsia="es-ES"/>
              </w:rPr>
            </w:pPr>
          </w:p>
          <w:p w14:paraId="7CB5D344" w14:textId="0F6963BD" w:rsidR="00505337" w:rsidRPr="00F61A37" w:rsidRDefault="00AC1070" w:rsidP="00DA5D20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2060"/>
                <w:sz w:val="24"/>
                <w:szCs w:val="24"/>
                <w:lang w:eastAsia="es-ES"/>
              </w:rPr>
            </w:pPr>
            <w:r w:rsidRPr="00F61A37">
              <w:rPr>
                <w:rFonts w:ascii="Arial" w:eastAsia="Times New Roman" w:hAnsi="Arial" w:cs="Arial"/>
                <w:color w:val="002060"/>
                <w:sz w:val="24"/>
                <w:szCs w:val="24"/>
                <w:lang w:eastAsia="es-ES"/>
              </w:rPr>
              <w:t>Este grupo de trabajo abre un espacio de debate sobre el acceso y la libertad de circulación en toda la universidad e instalaciones dependientes, así como la accesibilidad tecnológica y digital, accesibilidad en los contenidos curriculares y en todo aquello que tienen que ver con la plena participación de las y los estudiantes en las actividades y servicios que la universidad ofrece.</w:t>
            </w:r>
          </w:p>
        </w:tc>
      </w:tr>
    </w:tbl>
    <w:p w14:paraId="627DCA64" w14:textId="0574BF7E" w:rsidR="00E87C31" w:rsidRPr="00F6128B" w:rsidRDefault="00E87C31" w:rsidP="00E87C31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4B10B746" w14:textId="473B9F0F" w:rsidR="00E87C31" w:rsidRPr="00F6128B" w:rsidRDefault="00E87C31" w:rsidP="00E87C31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5551EC66" w14:textId="31A8C435" w:rsidR="00505337" w:rsidRDefault="00505337" w:rsidP="00E87C31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327C01DE" w14:textId="77777777" w:rsidR="00F6128B" w:rsidRPr="00F6128B" w:rsidRDefault="00F6128B" w:rsidP="00E87C31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D161378" w14:textId="77777777" w:rsidR="00505337" w:rsidRPr="00F6128B" w:rsidRDefault="00505337" w:rsidP="00E87C31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3A0F8EBB" w14:textId="77777777" w:rsidR="00E87C31" w:rsidRPr="00F6128B" w:rsidRDefault="00E87C31" w:rsidP="00E87C31">
      <w:pPr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1495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2244"/>
        <w:gridCol w:w="2844"/>
        <w:gridCol w:w="1560"/>
        <w:gridCol w:w="2378"/>
        <w:gridCol w:w="4948"/>
      </w:tblGrid>
      <w:tr w:rsidR="00E109F9" w:rsidRPr="00F6128B" w14:paraId="304D833F" w14:textId="77777777" w:rsidTr="00E109F9">
        <w:trPr>
          <w:trHeight w:val="840"/>
          <w:jc w:val="center"/>
        </w:trPr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</w:tcPr>
          <w:p w14:paraId="71339A2F" w14:textId="77777777" w:rsidR="00E109F9" w:rsidRPr="00F6128B" w:rsidRDefault="00E109F9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</w:pPr>
          </w:p>
        </w:tc>
        <w:tc>
          <w:tcPr>
            <w:tcW w:w="2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noWrap/>
            <w:vAlign w:val="center"/>
            <w:hideMark/>
          </w:tcPr>
          <w:p w14:paraId="687F62AE" w14:textId="2D49544B" w:rsidR="00E109F9" w:rsidRPr="00F6128B" w:rsidRDefault="00E109F9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</w:pPr>
            <w:r w:rsidRPr="00F6128B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  <w:t>Hora</w:t>
            </w:r>
          </w:p>
        </w:tc>
        <w:tc>
          <w:tcPr>
            <w:tcW w:w="2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  <w:hideMark/>
          </w:tcPr>
          <w:p w14:paraId="79F98FD0" w14:textId="77777777" w:rsidR="00E109F9" w:rsidRPr="00F6128B" w:rsidRDefault="00E109F9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</w:pPr>
            <w:r w:rsidRPr="00F6128B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  <w:t>Nombre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  <w:hideMark/>
          </w:tcPr>
          <w:p w14:paraId="760F2043" w14:textId="77777777" w:rsidR="00E109F9" w:rsidRPr="00F6128B" w:rsidRDefault="00E109F9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</w:pPr>
            <w:r w:rsidRPr="00F6128B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  <w:t>Universidad</w:t>
            </w:r>
          </w:p>
        </w:tc>
        <w:tc>
          <w:tcPr>
            <w:tcW w:w="2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  <w:hideMark/>
          </w:tcPr>
          <w:p w14:paraId="3D55945D" w14:textId="77777777" w:rsidR="00E109F9" w:rsidRPr="00F6128B" w:rsidRDefault="00E109F9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</w:pPr>
            <w:r w:rsidRPr="00F6128B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  <w:t>País</w:t>
            </w:r>
          </w:p>
        </w:tc>
        <w:tc>
          <w:tcPr>
            <w:tcW w:w="4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vAlign w:val="center"/>
            <w:hideMark/>
          </w:tcPr>
          <w:p w14:paraId="17298E87" w14:textId="77777777" w:rsidR="00E109F9" w:rsidRPr="00F6128B" w:rsidRDefault="00E109F9" w:rsidP="00994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</w:pPr>
            <w:r w:rsidRPr="00F6128B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  <w:t>Título de la comunicación</w:t>
            </w:r>
          </w:p>
        </w:tc>
      </w:tr>
      <w:tr w:rsidR="00967841" w:rsidRPr="00F6128B" w14:paraId="25BB3660" w14:textId="77777777" w:rsidTr="00E109F9">
        <w:trPr>
          <w:trHeight w:val="840"/>
          <w:jc w:val="center"/>
        </w:trPr>
        <w:tc>
          <w:tcPr>
            <w:tcW w:w="98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</w:tcPr>
          <w:p w14:paraId="6419694D" w14:textId="77777777" w:rsidR="00967841" w:rsidRDefault="00967841" w:rsidP="00967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</w:p>
          <w:p w14:paraId="45600C25" w14:textId="77777777" w:rsidR="00967841" w:rsidRDefault="00967841" w:rsidP="00967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</w:p>
          <w:p w14:paraId="599E8103" w14:textId="3DE99759" w:rsidR="00967841" w:rsidRPr="00F6128B" w:rsidRDefault="00967841" w:rsidP="00967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24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noWrap/>
            <w:vAlign w:val="center"/>
            <w:hideMark/>
          </w:tcPr>
          <w:p w14:paraId="4FA69B9F" w14:textId="22A57E9F" w:rsidR="00967841" w:rsidRPr="00F6128B" w:rsidRDefault="00967841" w:rsidP="00967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15,00 h. – 15,10 h.</w:t>
            </w:r>
          </w:p>
        </w:tc>
        <w:tc>
          <w:tcPr>
            <w:tcW w:w="28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vAlign w:val="center"/>
            <w:hideMark/>
          </w:tcPr>
          <w:p w14:paraId="45AD1181" w14:textId="38017317" w:rsidR="00967841" w:rsidRPr="00F6128B" w:rsidRDefault="00967841" w:rsidP="00967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F6128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Elena Ortega Alonso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856D8A" w14:textId="3191CB03" w:rsidR="00967841" w:rsidRPr="00F6128B" w:rsidRDefault="00967841" w:rsidP="00967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61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Real Patronato sobre Discapacidad</w:t>
            </w:r>
          </w:p>
        </w:tc>
        <w:tc>
          <w:tcPr>
            <w:tcW w:w="2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8C7FB48" w14:textId="6A2ECBF1" w:rsidR="00967841" w:rsidRPr="00F6128B" w:rsidRDefault="00967841" w:rsidP="00967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61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España</w:t>
            </w:r>
          </w:p>
        </w:tc>
        <w:tc>
          <w:tcPr>
            <w:tcW w:w="4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FFE32E" w14:textId="25A6ACE4" w:rsidR="00967841" w:rsidRPr="00F6128B" w:rsidRDefault="00967841" w:rsidP="00967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61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“Las necesidades del alumnado universitario con discapacidad en tiempos de pandemia”</w:t>
            </w:r>
          </w:p>
        </w:tc>
      </w:tr>
      <w:tr w:rsidR="004D0DB5" w:rsidRPr="00F6128B" w14:paraId="6EC314B6" w14:textId="77777777" w:rsidTr="00E109F9">
        <w:trPr>
          <w:trHeight w:val="840"/>
          <w:jc w:val="center"/>
        </w:trPr>
        <w:tc>
          <w:tcPr>
            <w:tcW w:w="98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</w:tcPr>
          <w:p w14:paraId="0A95BA48" w14:textId="251C8EEF" w:rsidR="004D0DB5" w:rsidRPr="00F6128B" w:rsidRDefault="004D0DB5" w:rsidP="004D0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24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noWrap/>
            <w:vAlign w:val="center"/>
            <w:hideMark/>
          </w:tcPr>
          <w:p w14:paraId="1A21D279" w14:textId="4B713FC2" w:rsidR="004D0DB5" w:rsidRPr="00F6128B" w:rsidRDefault="004D0DB5" w:rsidP="004D0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15,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11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h. – 15,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21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h</w:t>
            </w:r>
          </w:p>
        </w:tc>
        <w:tc>
          <w:tcPr>
            <w:tcW w:w="28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  <w:hideMark/>
          </w:tcPr>
          <w:p w14:paraId="1E943E61" w14:textId="6BF76894" w:rsidR="004D0DB5" w:rsidRPr="00F6128B" w:rsidRDefault="004D0DB5" w:rsidP="004D0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F6128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Celia Prados García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829E196" w14:textId="6FA3805E" w:rsidR="004D0DB5" w:rsidRPr="00F6128B" w:rsidRDefault="004D0DB5" w:rsidP="004D0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61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Universidad de Córdoba</w:t>
            </w:r>
          </w:p>
        </w:tc>
        <w:tc>
          <w:tcPr>
            <w:tcW w:w="2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9C002DF" w14:textId="47CA9C9E" w:rsidR="004D0DB5" w:rsidRPr="00F6128B" w:rsidRDefault="004D0DB5" w:rsidP="004D0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61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España</w:t>
            </w:r>
          </w:p>
        </w:tc>
        <w:tc>
          <w:tcPr>
            <w:tcW w:w="4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3AF483" w14:textId="558E3C0D" w:rsidR="004D0DB5" w:rsidRPr="00F6128B" w:rsidRDefault="004D0DB5" w:rsidP="004D0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61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Accesibilidad a la docencia universitaria en titulaciones jurídicas</w:t>
            </w:r>
          </w:p>
        </w:tc>
      </w:tr>
      <w:tr w:rsidR="004D0DB5" w:rsidRPr="00F6128B" w14:paraId="4899FB45" w14:textId="77777777" w:rsidTr="00E109F9">
        <w:trPr>
          <w:trHeight w:val="840"/>
          <w:jc w:val="center"/>
        </w:trPr>
        <w:tc>
          <w:tcPr>
            <w:tcW w:w="98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</w:tcPr>
          <w:p w14:paraId="10CE9800" w14:textId="5A4125C1" w:rsidR="004D0DB5" w:rsidRPr="00F6128B" w:rsidRDefault="004D0DB5" w:rsidP="004D0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24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noWrap/>
            <w:vAlign w:val="center"/>
            <w:hideMark/>
          </w:tcPr>
          <w:p w14:paraId="4CFE8320" w14:textId="0A226F9A" w:rsidR="004D0DB5" w:rsidRPr="00F6128B" w:rsidRDefault="004D0DB5" w:rsidP="004D0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15,22 h. - 15,32 h.</w:t>
            </w:r>
          </w:p>
        </w:tc>
        <w:tc>
          <w:tcPr>
            <w:tcW w:w="28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  <w:hideMark/>
          </w:tcPr>
          <w:p w14:paraId="5AF949F3" w14:textId="17B5E707" w:rsidR="004D0DB5" w:rsidRPr="00F6128B" w:rsidRDefault="004D0DB5" w:rsidP="004D0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F6128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Isabel Núñez-Vázquez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896DBA0" w14:textId="176ACCD4" w:rsidR="004D0DB5" w:rsidRPr="00F6128B" w:rsidRDefault="004D0DB5" w:rsidP="004D0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61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Universidad de Cádiz</w:t>
            </w:r>
          </w:p>
        </w:tc>
        <w:tc>
          <w:tcPr>
            <w:tcW w:w="2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E7455A1" w14:textId="300A9534" w:rsidR="004D0DB5" w:rsidRPr="00F6128B" w:rsidRDefault="004D0DB5" w:rsidP="004D0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61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España</w:t>
            </w:r>
          </w:p>
        </w:tc>
        <w:tc>
          <w:tcPr>
            <w:tcW w:w="4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05C66D" w14:textId="7A7A262F" w:rsidR="004D0DB5" w:rsidRPr="00F6128B" w:rsidRDefault="004D0DB5" w:rsidP="004D0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61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Reading </w:t>
            </w:r>
            <w:proofErr w:type="spellStart"/>
            <w:r w:rsidRPr="00F61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foreign</w:t>
            </w:r>
            <w:proofErr w:type="spellEnd"/>
            <w:r w:rsidRPr="00F61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61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language</w:t>
            </w:r>
            <w:proofErr w:type="spellEnd"/>
            <w:r w:rsidRPr="00F61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61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learning</w:t>
            </w:r>
            <w:proofErr w:type="spellEnd"/>
            <w:r w:rsidRPr="00F61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and </w:t>
            </w:r>
            <w:proofErr w:type="spellStart"/>
            <w:r w:rsidRPr="00F61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cognitive</w:t>
            </w:r>
            <w:proofErr w:type="spellEnd"/>
            <w:r w:rsidRPr="00F61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61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accessibility</w:t>
            </w:r>
            <w:proofErr w:type="spellEnd"/>
          </w:p>
        </w:tc>
      </w:tr>
      <w:tr w:rsidR="004D0DB5" w:rsidRPr="00F6128B" w14:paraId="4B81FC87" w14:textId="77777777" w:rsidTr="00E109F9">
        <w:trPr>
          <w:trHeight w:val="840"/>
          <w:jc w:val="center"/>
        </w:trPr>
        <w:tc>
          <w:tcPr>
            <w:tcW w:w="98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</w:tcPr>
          <w:p w14:paraId="3E8ADD01" w14:textId="0D6341C7" w:rsidR="004D0DB5" w:rsidRPr="00F6128B" w:rsidRDefault="004D0DB5" w:rsidP="004D0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lastRenderedPageBreak/>
              <w:t>4</w:t>
            </w:r>
          </w:p>
        </w:tc>
        <w:tc>
          <w:tcPr>
            <w:tcW w:w="224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noWrap/>
            <w:vAlign w:val="center"/>
            <w:hideMark/>
          </w:tcPr>
          <w:p w14:paraId="51C3E266" w14:textId="79E4646B" w:rsidR="004D0DB5" w:rsidRPr="00F6128B" w:rsidRDefault="004D0DB5" w:rsidP="004D0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15,33 h. - 15,43 h.</w:t>
            </w:r>
          </w:p>
        </w:tc>
        <w:tc>
          <w:tcPr>
            <w:tcW w:w="28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  <w:hideMark/>
          </w:tcPr>
          <w:p w14:paraId="62D147D5" w14:textId="03943416" w:rsidR="004D0DB5" w:rsidRPr="00F6128B" w:rsidRDefault="004D0DB5" w:rsidP="004D0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F6128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Mercé Barrera Ciurana y Odet Moliner García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1BD9BFC" w14:textId="0B7A8262" w:rsidR="004D0DB5" w:rsidRPr="00F6128B" w:rsidRDefault="004D0DB5" w:rsidP="004D0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F61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Universitat</w:t>
            </w:r>
            <w:proofErr w:type="spellEnd"/>
            <w:r w:rsidRPr="00F61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Jaume I</w:t>
            </w:r>
          </w:p>
        </w:tc>
        <w:tc>
          <w:tcPr>
            <w:tcW w:w="2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215D1B6" w14:textId="1A3682FC" w:rsidR="004D0DB5" w:rsidRPr="00F6128B" w:rsidRDefault="004D0DB5" w:rsidP="004D0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61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España</w:t>
            </w:r>
          </w:p>
        </w:tc>
        <w:tc>
          <w:tcPr>
            <w:tcW w:w="4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1B11AE" w14:textId="6B7C3D30" w:rsidR="004D0DB5" w:rsidRPr="00F6128B" w:rsidRDefault="004D0DB5" w:rsidP="004D0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61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El enfoque DUA en la universidad desde la perspectiva del alumnado con Síndrome de Asperger</w:t>
            </w:r>
          </w:p>
        </w:tc>
      </w:tr>
      <w:tr w:rsidR="004D0DB5" w:rsidRPr="00F6128B" w14:paraId="37864688" w14:textId="77777777" w:rsidTr="00E109F9">
        <w:trPr>
          <w:trHeight w:val="840"/>
          <w:jc w:val="center"/>
        </w:trPr>
        <w:tc>
          <w:tcPr>
            <w:tcW w:w="98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</w:tcPr>
          <w:p w14:paraId="1695D256" w14:textId="77777777" w:rsidR="00B63225" w:rsidRDefault="00B63225" w:rsidP="004D0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</w:p>
          <w:p w14:paraId="5F8B26BC" w14:textId="2AE10BFE" w:rsidR="004D0DB5" w:rsidRPr="00B63225" w:rsidRDefault="004D0DB5" w:rsidP="004D0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B63225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224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noWrap/>
            <w:vAlign w:val="center"/>
            <w:hideMark/>
          </w:tcPr>
          <w:p w14:paraId="54C1A959" w14:textId="31D9367F" w:rsidR="004D0DB5" w:rsidRPr="00B63225" w:rsidRDefault="004D0DB5" w:rsidP="004D0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B63225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15,44 h. - 15,54 h.</w:t>
            </w:r>
          </w:p>
        </w:tc>
        <w:tc>
          <w:tcPr>
            <w:tcW w:w="28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  <w:hideMark/>
          </w:tcPr>
          <w:p w14:paraId="248AA129" w14:textId="65C5B60B" w:rsidR="004D0DB5" w:rsidRPr="00B63225" w:rsidRDefault="004D0DB5" w:rsidP="004D0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B63225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Rosa María Espada Chavarría y </w:t>
            </w:r>
            <w:proofErr w:type="spellStart"/>
            <w:r w:rsidRPr="00B63225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Rayco</w:t>
            </w:r>
            <w:proofErr w:type="spellEnd"/>
            <w:r w:rsidRPr="00B63225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H. González Montesino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55575F6" w14:textId="653014B5" w:rsidR="004D0DB5" w:rsidRPr="00B63225" w:rsidRDefault="004D0DB5" w:rsidP="004D0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6322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Universidad Rey Juan Carlos (URJC)</w:t>
            </w:r>
          </w:p>
        </w:tc>
        <w:tc>
          <w:tcPr>
            <w:tcW w:w="2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A9B56ED" w14:textId="63443AA6" w:rsidR="004D0DB5" w:rsidRPr="00B63225" w:rsidRDefault="004D0DB5" w:rsidP="004D0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6322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España </w:t>
            </w:r>
          </w:p>
        </w:tc>
        <w:tc>
          <w:tcPr>
            <w:tcW w:w="4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62A5FA" w14:textId="0BFC25EE" w:rsidR="004D0DB5" w:rsidRPr="00B63225" w:rsidRDefault="004D0DB5" w:rsidP="004D0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6322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Diseño universal para el aprendizaje y para la instrucción en educación superior: implementación en el Grado de Lengua de Signos Española y Comunidad Sorda</w:t>
            </w:r>
          </w:p>
        </w:tc>
      </w:tr>
      <w:tr w:rsidR="004D0DB5" w:rsidRPr="00F6128B" w14:paraId="365A8BCA" w14:textId="77777777" w:rsidTr="00E109F9">
        <w:trPr>
          <w:trHeight w:val="840"/>
          <w:jc w:val="center"/>
        </w:trPr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</w:tcPr>
          <w:p w14:paraId="2AD58140" w14:textId="6E0ACF08" w:rsidR="004D0DB5" w:rsidRPr="00F6128B" w:rsidRDefault="004D0DB5" w:rsidP="004D0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2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noWrap/>
            <w:vAlign w:val="center"/>
            <w:hideMark/>
          </w:tcPr>
          <w:p w14:paraId="354C99A9" w14:textId="78E76A66" w:rsidR="004D0DB5" w:rsidRPr="00F6128B" w:rsidRDefault="004D0DB5" w:rsidP="004D0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5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,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55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h. - 16,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05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h.</w:t>
            </w:r>
          </w:p>
        </w:tc>
        <w:tc>
          <w:tcPr>
            <w:tcW w:w="2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  <w:hideMark/>
          </w:tcPr>
          <w:p w14:paraId="56AFC275" w14:textId="60BC940C" w:rsidR="004D0DB5" w:rsidRPr="00F6128B" w:rsidRDefault="004D0DB5" w:rsidP="004D0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F6128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Mª Concepción Pérez Gutiérrez, Guadalupe Cantarero García, Pablo F. Muñoz Navarro, Paola Dantés Rodríguez, Bertha Adriana Díaz Delgado y Amelia Guadalupe Rivera Ríos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FC3E915" w14:textId="00C34195" w:rsidR="004D0DB5" w:rsidRPr="00F6128B" w:rsidRDefault="004D0DB5" w:rsidP="004D0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61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Universidad CEU San Pablo y Universidad de Monterrey</w:t>
            </w:r>
          </w:p>
        </w:tc>
        <w:tc>
          <w:tcPr>
            <w:tcW w:w="2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9D197A9" w14:textId="6EBD41F2" w:rsidR="004D0DB5" w:rsidRPr="00F6128B" w:rsidRDefault="004D0DB5" w:rsidP="004D0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61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España</w:t>
            </w:r>
          </w:p>
        </w:tc>
        <w:tc>
          <w:tcPr>
            <w:tcW w:w="4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B3D761" w14:textId="54BD6BAC" w:rsidR="004D0DB5" w:rsidRPr="00F6128B" w:rsidRDefault="004D0DB5" w:rsidP="004D0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61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Accesibilidad Universal. Análisis espacial de la vivienda. Experiencia inclusiva internacional</w:t>
            </w:r>
          </w:p>
        </w:tc>
      </w:tr>
      <w:tr w:rsidR="004D0DB5" w:rsidRPr="00F6128B" w14:paraId="6D52F476" w14:textId="77777777" w:rsidTr="00E109F9">
        <w:trPr>
          <w:trHeight w:val="840"/>
          <w:jc w:val="center"/>
        </w:trPr>
        <w:tc>
          <w:tcPr>
            <w:tcW w:w="98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</w:tcPr>
          <w:p w14:paraId="42A6D609" w14:textId="5A24340F" w:rsidR="004D0DB5" w:rsidRPr="00F6128B" w:rsidRDefault="004D0DB5" w:rsidP="004D0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224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noWrap/>
            <w:vAlign w:val="center"/>
            <w:hideMark/>
          </w:tcPr>
          <w:p w14:paraId="4AB19F45" w14:textId="02390AF9" w:rsidR="004D0DB5" w:rsidRPr="00F6128B" w:rsidRDefault="004D0DB5" w:rsidP="004D0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16,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06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h. - 16,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16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h.</w:t>
            </w:r>
          </w:p>
        </w:tc>
        <w:tc>
          <w:tcPr>
            <w:tcW w:w="28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  <w:hideMark/>
          </w:tcPr>
          <w:p w14:paraId="1B380092" w14:textId="517B5B60" w:rsidR="004D0DB5" w:rsidRPr="00F6128B" w:rsidRDefault="004D0DB5" w:rsidP="004D0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F6128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Raúl Reina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E7AA719" w14:textId="573AE257" w:rsidR="004D0DB5" w:rsidRPr="00F6128B" w:rsidRDefault="004D0DB5" w:rsidP="004D0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61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Universidad Miguel Hernández de Elche</w:t>
            </w:r>
          </w:p>
        </w:tc>
        <w:tc>
          <w:tcPr>
            <w:tcW w:w="2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2693D8D" w14:textId="61F80C67" w:rsidR="004D0DB5" w:rsidRPr="00F6128B" w:rsidRDefault="004D0DB5" w:rsidP="004D0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61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España</w:t>
            </w:r>
          </w:p>
        </w:tc>
        <w:tc>
          <w:tcPr>
            <w:tcW w:w="4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6B3167" w14:textId="2E8778D0" w:rsidR="004D0DB5" w:rsidRPr="00F6128B" w:rsidRDefault="004D0DB5" w:rsidP="004D0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61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Señalética Inclusiva como respuesta a la diversidad de la comunidad universitaria</w:t>
            </w:r>
          </w:p>
        </w:tc>
      </w:tr>
      <w:tr w:rsidR="004D0DB5" w:rsidRPr="00F6128B" w14:paraId="34623D67" w14:textId="77777777" w:rsidTr="00E109F9">
        <w:trPr>
          <w:trHeight w:val="840"/>
          <w:jc w:val="center"/>
        </w:trPr>
        <w:tc>
          <w:tcPr>
            <w:tcW w:w="98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</w:tcPr>
          <w:p w14:paraId="34D05BF7" w14:textId="2E702659" w:rsidR="004D0DB5" w:rsidRPr="00F6128B" w:rsidRDefault="004D0DB5" w:rsidP="004D0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lastRenderedPageBreak/>
              <w:t>8</w:t>
            </w:r>
          </w:p>
        </w:tc>
        <w:tc>
          <w:tcPr>
            <w:tcW w:w="224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noWrap/>
            <w:vAlign w:val="center"/>
            <w:hideMark/>
          </w:tcPr>
          <w:p w14:paraId="22794DFA" w14:textId="37F04AE8" w:rsidR="004D0DB5" w:rsidRPr="00F6128B" w:rsidRDefault="004D0DB5" w:rsidP="004D0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16,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17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h. - 16,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27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h.</w:t>
            </w:r>
          </w:p>
        </w:tc>
        <w:tc>
          <w:tcPr>
            <w:tcW w:w="28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  <w:hideMark/>
          </w:tcPr>
          <w:p w14:paraId="22B13415" w14:textId="68F89358" w:rsidR="004D0DB5" w:rsidRPr="00F6128B" w:rsidRDefault="004D0DB5" w:rsidP="004D0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F6128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Wendy Aguilar </w:t>
            </w:r>
            <w:proofErr w:type="spellStart"/>
            <w:r w:rsidRPr="00F6128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Freyan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327CF51" w14:textId="2CFD47B3" w:rsidR="004D0DB5" w:rsidRPr="00F6128B" w:rsidRDefault="004D0DB5" w:rsidP="004D0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61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Universidad de Salamanca</w:t>
            </w:r>
          </w:p>
        </w:tc>
        <w:tc>
          <w:tcPr>
            <w:tcW w:w="2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949070E" w14:textId="3D5A936D" w:rsidR="004D0DB5" w:rsidRPr="00F6128B" w:rsidRDefault="004D0DB5" w:rsidP="004D0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61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España</w:t>
            </w:r>
          </w:p>
        </w:tc>
        <w:tc>
          <w:tcPr>
            <w:tcW w:w="4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A07981" w14:textId="5B433024" w:rsidR="004D0DB5" w:rsidRPr="00F6128B" w:rsidRDefault="004D0DB5" w:rsidP="004D0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61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Impacto educativo de los productos de apoyo en estudiantes universitarios con discapacidad: una revisión sistemática</w:t>
            </w:r>
          </w:p>
        </w:tc>
      </w:tr>
      <w:tr w:rsidR="00967841" w:rsidRPr="00F6128B" w14:paraId="7C88BFB0" w14:textId="77777777" w:rsidTr="00E109F9">
        <w:trPr>
          <w:trHeight w:val="840"/>
          <w:jc w:val="center"/>
        </w:trPr>
        <w:tc>
          <w:tcPr>
            <w:tcW w:w="98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</w:tcPr>
          <w:p w14:paraId="1421DFB6" w14:textId="6F0CDB1B" w:rsidR="00967841" w:rsidRPr="00F6128B" w:rsidRDefault="00967841" w:rsidP="00967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224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noWrap/>
            <w:vAlign w:val="center"/>
            <w:hideMark/>
          </w:tcPr>
          <w:p w14:paraId="37DA75DB" w14:textId="154BF4DE" w:rsidR="00967841" w:rsidRPr="00F6128B" w:rsidRDefault="00967841" w:rsidP="00967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6,28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H. - 1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6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,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38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H.</w:t>
            </w:r>
          </w:p>
        </w:tc>
        <w:tc>
          <w:tcPr>
            <w:tcW w:w="28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  <w:hideMark/>
          </w:tcPr>
          <w:p w14:paraId="52E81971" w14:textId="75360D0D" w:rsidR="00967841" w:rsidRPr="00F6128B" w:rsidRDefault="00967841" w:rsidP="00967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F6128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Ana M. Castro-Martínez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D24D773" w14:textId="45ED3EF3" w:rsidR="00967841" w:rsidRPr="00F6128B" w:rsidRDefault="00967841" w:rsidP="00967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61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UNED</w:t>
            </w:r>
          </w:p>
        </w:tc>
        <w:tc>
          <w:tcPr>
            <w:tcW w:w="2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96A109E" w14:textId="1D9EC11D" w:rsidR="00967841" w:rsidRPr="00F6128B" w:rsidRDefault="00967841" w:rsidP="00967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61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España </w:t>
            </w:r>
          </w:p>
        </w:tc>
        <w:tc>
          <w:tcPr>
            <w:tcW w:w="4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F4E98F" w14:textId="77777777" w:rsidR="00967841" w:rsidRPr="00F6128B" w:rsidRDefault="00967841" w:rsidP="00967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61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Accesibilidad en el entorno</w:t>
            </w:r>
          </w:p>
          <w:p w14:paraId="21B0F615" w14:textId="77777777" w:rsidR="00967841" w:rsidRPr="00F6128B" w:rsidRDefault="00967841" w:rsidP="00967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61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universitario para el alumnado con discapacidad auditiva.</w:t>
            </w:r>
          </w:p>
          <w:p w14:paraId="1CDD4318" w14:textId="77777777" w:rsidR="00967841" w:rsidRPr="00F6128B" w:rsidRDefault="00967841" w:rsidP="00967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61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la tecnología como vía hacia la igualdad de</w:t>
            </w:r>
          </w:p>
          <w:p w14:paraId="750C864A" w14:textId="6F63C3C9" w:rsidR="00967841" w:rsidRPr="00F6128B" w:rsidRDefault="00967841" w:rsidP="00967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61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oportunidades</w:t>
            </w:r>
          </w:p>
        </w:tc>
      </w:tr>
      <w:tr w:rsidR="004D0DB5" w:rsidRPr="00F6128B" w14:paraId="0AD95818" w14:textId="77777777" w:rsidTr="00E109F9">
        <w:trPr>
          <w:trHeight w:val="840"/>
          <w:jc w:val="center"/>
        </w:trPr>
        <w:tc>
          <w:tcPr>
            <w:tcW w:w="98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</w:tcPr>
          <w:p w14:paraId="000FD0B3" w14:textId="134D790B" w:rsidR="004D0DB5" w:rsidRDefault="004D0DB5" w:rsidP="004D0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224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noWrap/>
            <w:vAlign w:val="center"/>
          </w:tcPr>
          <w:p w14:paraId="79C61E11" w14:textId="26E7F774" w:rsidR="004D0DB5" w:rsidRPr="00F6128B" w:rsidRDefault="004D0DB5" w:rsidP="004D0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6,39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h. – 1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6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,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49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h. </w:t>
            </w:r>
          </w:p>
        </w:tc>
        <w:tc>
          <w:tcPr>
            <w:tcW w:w="28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</w:tcPr>
          <w:p w14:paraId="407C777A" w14:textId="2D44AC6D" w:rsidR="004D0DB5" w:rsidRPr="00F6128B" w:rsidRDefault="005667EE" w:rsidP="005667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5667E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Antonio Alhambra Sánchez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, </w:t>
            </w:r>
            <w:r w:rsidRPr="005667E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Francesc Bañuls Lapuerta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, </w:t>
            </w:r>
            <w:r w:rsidRPr="005667E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Joana Calero Plaza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, </w:t>
            </w:r>
            <w:r w:rsidRPr="005667E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Margarita Cañadas Pérez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, </w:t>
            </w:r>
            <w:r w:rsidRPr="005667E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Gabriel Martínez Rico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, </w:t>
            </w:r>
            <w:r w:rsidRPr="005667E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Bernat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, </w:t>
            </w:r>
            <w:r w:rsidRPr="005667E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Llopis Carrasco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, </w:t>
            </w:r>
            <w:r w:rsidRPr="005667E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Vicente Palop Esteban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, </w:t>
            </w:r>
            <w:r w:rsidRPr="005667E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Carlos Pérez Campos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, </w:t>
            </w:r>
            <w:r w:rsidRPr="005667E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Inés Richard Vidal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, </w:t>
            </w:r>
            <w:r w:rsidRPr="005667E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Juan Manuel Ríos Lozana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, </w:t>
            </w:r>
            <w:r w:rsidRPr="005667E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Francisco Tomás Aguirre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y </w:t>
            </w:r>
            <w:r w:rsidRPr="005667E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Rafael Villatoro Gironés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20049D5" w14:textId="01631F98" w:rsidR="004D0DB5" w:rsidRPr="00F6128B" w:rsidRDefault="004D0DB5" w:rsidP="004D0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B02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Campus Capacitas. C.A.R.D. Capacitas UCV</w:t>
            </w:r>
            <w:r w:rsidRPr="009B02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ab/>
            </w:r>
          </w:p>
        </w:tc>
        <w:tc>
          <w:tcPr>
            <w:tcW w:w="2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01D20EE" w14:textId="487F3999" w:rsidR="004D0DB5" w:rsidRPr="00F6128B" w:rsidRDefault="004D0DB5" w:rsidP="004D0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B02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España</w:t>
            </w:r>
          </w:p>
        </w:tc>
        <w:tc>
          <w:tcPr>
            <w:tcW w:w="4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8853F46" w14:textId="560190E4" w:rsidR="004D0DB5" w:rsidRPr="00F6128B" w:rsidRDefault="004D0DB5" w:rsidP="004D0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B02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Un proyecto de cooperación universidad-formación profesional para el diseño de productos de apoyo y TIC de bajo coste</w:t>
            </w:r>
          </w:p>
        </w:tc>
      </w:tr>
      <w:tr w:rsidR="004D0DB5" w:rsidRPr="00F6128B" w14:paraId="12EF368D" w14:textId="77777777" w:rsidTr="00E109F9">
        <w:trPr>
          <w:trHeight w:val="840"/>
          <w:jc w:val="center"/>
        </w:trPr>
        <w:tc>
          <w:tcPr>
            <w:tcW w:w="98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</w:tcPr>
          <w:p w14:paraId="1BE241FA" w14:textId="7E5BDE88" w:rsidR="004D0DB5" w:rsidRPr="00F6128B" w:rsidRDefault="004D0DB5" w:rsidP="004D0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lastRenderedPageBreak/>
              <w:t>11</w:t>
            </w:r>
          </w:p>
        </w:tc>
        <w:tc>
          <w:tcPr>
            <w:tcW w:w="224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0000"/>
            <w:noWrap/>
            <w:vAlign w:val="center"/>
            <w:hideMark/>
          </w:tcPr>
          <w:p w14:paraId="252EB80D" w14:textId="039D8436" w:rsidR="004D0DB5" w:rsidRPr="00F6128B" w:rsidRDefault="004D0DB5" w:rsidP="004D0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1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6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,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50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h. - 17,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00</w:t>
            </w:r>
            <w:r w:rsidRPr="0093001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h. </w:t>
            </w:r>
          </w:p>
        </w:tc>
        <w:tc>
          <w:tcPr>
            <w:tcW w:w="28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noWrap/>
            <w:vAlign w:val="center"/>
            <w:hideMark/>
          </w:tcPr>
          <w:p w14:paraId="0C57A0F8" w14:textId="0A65A5A2" w:rsidR="004D0DB5" w:rsidRPr="00F6128B" w:rsidRDefault="004D0DB5" w:rsidP="004D0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F6128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Mª de las Mercedes Serrato Calero, Mª Dolores Yerga Míguez y Rosa Mª Díaz Jiménez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8C70032" w14:textId="55AE52B7" w:rsidR="004D0DB5" w:rsidRPr="00F6128B" w:rsidRDefault="004D0DB5" w:rsidP="004D0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61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Universidad de Huelva y Universidad Pablo de Olavide</w:t>
            </w:r>
          </w:p>
        </w:tc>
        <w:tc>
          <w:tcPr>
            <w:tcW w:w="2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55F3730" w14:textId="6C730E74" w:rsidR="004D0DB5" w:rsidRPr="00F6128B" w:rsidRDefault="004D0DB5" w:rsidP="004D0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61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España</w:t>
            </w:r>
          </w:p>
        </w:tc>
        <w:tc>
          <w:tcPr>
            <w:tcW w:w="4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D4E8AE" w14:textId="1E490758" w:rsidR="004D0DB5" w:rsidRPr="00F6128B" w:rsidRDefault="004D0DB5" w:rsidP="004D0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61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Apoyos en el recorrido educativo de mujeres con discapacidad desde el análisis del discurso</w:t>
            </w:r>
          </w:p>
        </w:tc>
      </w:tr>
    </w:tbl>
    <w:p w14:paraId="1BF4EDE7" w14:textId="77777777" w:rsidR="00E87C31" w:rsidRPr="00F6128B" w:rsidRDefault="00E87C31" w:rsidP="00E87C31">
      <w:pPr>
        <w:jc w:val="center"/>
        <w:rPr>
          <w:rFonts w:ascii="Arial" w:hAnsi="Arial" w:cs="Arial"/>
          <w:sz w:val="24"/>
          <w:szCs w:val="24"/>
        </w:rPr>
      </w:pPr>
    </w:p>
    <w:p w14:paraId="75A229C2" w14:textId="77777777" w:rsidR="00E87C31" w:rsidRPr="00F6128B" w:rsidRDefault="00E87C31" w:rsidP="00E87C31">
      <w:pPr>
        <w:jc w:val="both"/>
        <w:rPr>
          <w:rFonts w:ascii="Arial" w:hAnsi="Arial" w:cs="Arial"/>
          <w:sz w:val="24"/>
          <w:szCs w:val="24"/>
          <w:u w:val="single"/>
        </w:rPr>
      </w:pPr>
    </w:p>
    <w:sectPr w:rsidR="00E87C31" w:rsidRPr="00F6128B" w:rsidSect="00E87C31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AAB05" w14:textId="77777777" w:rsidR="00E87C31" w:rsidRDefault="00E87C31" w:rsidP="00E87C31">
      <w:pPr>
        <w:spacing w:after="0" w:line="240" w:lineRule="auto"/>
      </w:pPr>
      <w:r>
        <w:separator/>
      </w:r>
    </w:p>
  </w:endnote>
  <w:endnote w:type="continuationSeparator" w:id="0">
    <w:p w14:paraId="77BB9BAC" w14:textId="77777777" w:rsidR="00E87C31" w:rsidRDefault="00E87C31" w:rsidP="00E87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6D542" w14:textId="77777777" w:rsidR="00E87C31" w:rsidRDefault="00E87C31" w:rsidP="00E87C31">
      <w:pPr>
        <w:spacing w:after="0" w:line="240" w:lineRule="auto"/>
      </w:pPr>
      <w:r>
        <w:separator/>
      </w:r>
    </w:p>
  </w:footnote>
  <w:footnote w:type="continuationSeparator" w:id="0">
    <w:p w14:paraId="4BAC68E9" w14:textId="77777777" w:rsidR="00E87C31" w:rsidRDefault="00E87C31" w:rsidP="00E87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84037" w14:textId="70B6C3FF" w:rsidR="00E87C31" w:rsidRDefault="00E87C31">
    <w:pPr>
      <w:pStyle w:val="Encabezado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69900629" wp14:editId="4F26F06A">
          <wp:simplePos x="0" y="0"/>
          <wp:positionH relativeFrom="margin">
            <wp:posOffset>4629785</wp:posOffset>
          </wp:positionH>
          <wp:positionV relativeFrom="paragraph">
            <wp:posOffset>53340</wp:posOffset>
          </wp:positionV>
          <wp:extent cx="2708275" cy="1645920"/>
          <wp:effectExtent l="0" t="0" r="0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8275" cy="1645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7F93065" wp14:editId="29799520">
          <wp:simplePos x="0" y="0"/>
          <wp:positionH relativeFrom="column">
            <wp:posOffset>1607820</wp:posOffset>
          </wp:positionH>
          <wp:positionV relativeFrom="paragraph">
            <wp:posOffset>6985</wp:posOffset>
          </wp:positionV>
          <wp:extent cx="2352675" cy="1755140"/>
          <wp:effectExtent l="0" t="0" r="9525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75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2E3768" w14:textId="77777777" w:rsidR="00E87C31" w:rsidRDefault="00E87C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31"/>
    <w:rsid w:val="00002D84"/>
    <w:rsid w:val="001605FF"/>
    <w:rsid w:val="0016248F"/>
    <w:rsid w:val="002E068D"/>
    <w:rsid w:val="004D0DB5"/>
    <w:rsid w:val="00505337"/>
    <w:rsid w:val="005667EE"/>
    <w:rsid w:val="00596366"/>
    <w:rsid w:val="008D1704"/>
    <w:rsid w:val="008E38F3"/>
    <w:rsid w:val="00912108"/>
    <w:rsid w:val="00967841"/>
    <w:rsid w:val="009B02F0"/>
    <w:rsid w:val="00A31624"/>
    <w:rsid w:val="00A42D32"/>
    <w:rsid w:val="00AC1070"/>
    <w:rsid w:val="00AD3A6E"/>
    <w:rsid w:val="00B63225"/>
    <w:rsid w:val="00C6554F"/>
    <w:rsid w:val="00D27E80"/>
    <w:rsid w:val="00E109F9"/>
    <w:rsid w:val="00E87C31"/>
    <w:rsid w:val="00ED4B5C"/>
    <w:rsid w:val="00F6128B"/>
    <w:rsid w:val="00F61A37"/>
    <w:rsid w:val="00FD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E2C0EB2"/>
  <w15:chartTrackingRefBased/>
  <w15:docId w15:val="{B65BF860-A85E-42A1-9E96-55B4C2A9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C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7C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7C31"/>
  </w:style>
  <w:style w:type="paragraph" w:styleId="Piedepgina">
    <w:name w:val="footer"/>
    <w:basedOn w:val="Normal"/>
    <w:link w:val="PiedepginaCar"/>
    <w:uiPriority w:val="99"/>
    <w:unhideWhenUsed/>
    <w:rsid w:val="00E87C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7C31"/>
  </w:style>
  <w:style w:type="paragraph" w:styleId="Textodeglobo">
    <w:name w:val="Balloon Text"/>
    <w:basedOn w:val="Normal"/>
    <w:link w:val="TextodegloboCar"/>
    <w:uiPriority w:val="99"/>
    <w:semiHidden/>
    <w:unhideWhenUsed/>
    <w:rsid w:val="00596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8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484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Ordas, Camino</dc:creator>
  <cp:keywords/>
  <dc:description/>
  <cp:lastModifiedBy>Gonzalez Ordas, Camino</cp:lastModifiedBy>
  <cp:revision>19</cp:revision>
  <dcterms:created xsi:type="dcterms:W3CDTF">2021-09-08T10:43:00Z</dcterms:created>
  <dcterms:modified xsi:type="dcterms:W3CDTF">2021-09-30T11:32:00Z</dcterms:modified>
</cp:coreProperties>
</file>